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5F247">
      <w:pPr>
        <w:pStyle w:val="2"/>
        <w:keepNext w:val="0"/>
        <w:keepLines w:val="0"/>
        <w:widowControl/>
        <w:suppressLineNumbers w:val="0"/>
        <w:shd w:val="clear" w:fill="FFFFFF"/>
        <w:ind w:left="0" w:firstLine="0"/>
        <w:jc w:val="center"/>
        <w:rPr>
          <w:rFonts w:ascii="微软雅黑" w:hAnsi="微软雅黑" w:eastAsia="微软雅黑" w:cs="微软雅黑"/>
          <w:i w:val="0"/>
          <w:iCs w:val="0"/>
          <w:caps w:val="0"/>
          <w:color w:val="AB161C"/>
          <w:spacing w:val="0"/>
        </w:rPr>
      </w:pPr>
      <w:r>
        <w:rPr>
          <w:rFonts w:hint="eastAsia" w:ascii="微软雅黑" w:hAnsi="微软雅黑" w:eastAsia="微软雅黑" w:cs="微软雅黑"/>
          <w:i w:val="0"/>
          <w:iCs w:val="0"/>
          <w:caps w:val="0"/>
          <w:color w:val="AB161C"/>
          <w:spacing w:val="0"/>
          <w:shd w:val="clear" w:fill="FFFFFF"/>
        </w:rPr>
        <w:t>关于修订公务员录用体检通用标准试行及公务员录用体检操作手册试行有关内容的通知</w:t>
      </w:r>
    </w:p>
    <w:p w14:paraId="7B306906">
      <w:pPr>
        <w:pStyle w:val="2"/>
        <w:keepNext w:val="0"/>
        <w:keepLines w:val="0"/>
        <w:widowControl/>
        <w:suppressLineNumbers w:val="0"/>
        <w:shd w:val="clear" w:fill="FFFFFF"/>
        <w:spacing w:line="480" w:lineRule="atLeast"/>
        <w:ind w:left="0" w:firstLine="0"/>
        <w:jc w:val="center"/>
        <w:rPr>
          <w:rFonts w:ascii="微软雅黑" w:hAnsi="微软雅黑" w:eastAsia="微软雅黑" w:cs="微软雅黑"/>
          <w:i w:val="0"/>
          <w:iCs w:val="0"/>
          <w:caps w:val="0"/>
          <w:color w:val="000000" w:themeColor="text1"/>
          <w:spacing w:val="0"/>
          <w:sz w:val="44"/>
          <w:szCs w:val="44"/>
          <w14:textFill>
            <w14:solidFill>
              <w14:schemeClr w14:val="tx1"/>
            </w14:solidFill>
          </w14:textFill>
        </w:rPr>
      </w:pPr>
      <w:bookmarkStart w:id="0" w:name="_GoBack"/>
      <w:r>
        <w:rPr>
          <w:rFonts w:ascii="仿宋_GB2312" w:hAnsi="微软雅黑" w:eastAsia="仿宋_GB2312" w:cs="仿宋_GB2312"/>
          <w:b w:val="0"/>
          <w:bCs w:val="0"/>
          <w:i w:val="0"/>
          <w:iCs w:val="0"/>
          <w:caps w:val="0"/>
          <w:color w:val="000000" w:themeColor="text1"/>
          <w:spacing w:val="0"/>
          <w:sz w:val="28"/>
          <w:szCs w:val="28"/>
          <w:shd w:val="clear" w:fill="FFFFFF"/>
          <w14:textFill>
            <w14:solidFill>
              <w14:schemeClr w14:val="tx1"/>
            </w14:solidFill>
          </w14:textFill>
        </w:rPr>
        <w:t>人社部发〔</w:t>
      </w:r>
      <w:r>
        <w:rPr>
          <w:rFonts w:hint="default" w:ascii="Times New Roman" w:hAnsi="Times New Roman" w:eastAsia="微软雅黑" w:cs="Times New Roman"/>
          <w:b w:val="0"/>
          <w:bCs w:val="0"/>
          <w:i w:val="0"/>
          <w:iCs w:val="0"/>
          <w:caps w:val="0"/>
          <w:color w:val="000000" w:themeColor="text1"/>
          <w:spacing w:val="0"/>
          <w:sz w:val="28"/>
          <w:szCs w:val="28"/>
          <w:shd w:val="clear" w:fill="FFFFFF"/>
          <w14:textFill>
            <w14:solidFill>
              <w14:schemeClr w14:val="tx1"/>
            </w14:solidFill>
          </w14:textFill>
        </w:rPr>
        <w:t>2016</w:t>
      </w:r>
      <w:r>
        <w:rPr>
          <w:rFonts w:hint="default" w:ascii="仿宋_GB2312" w:hAnsi="微软雅黑" w:eastAsia="仿宋_GB2312" w:cs="仿宋_GB2312"/>
          <w:b w:val="0"/>
          <w:bCs w:val="0"/>
          <w:i w:val="0"/>
          <w:iCs w:val="0"/>
          <w:caps w:val="0"/>
          <w:color w:val="000000" w:themeColor="text1"/>
          <w:spacing w:val="0"/>
          <w:sz w:val="28"/>
          <w:szCs w:val="28"/>
          <w:shd w:val="clear" w:fill="FFFFFF"/>
          <w14:textFill>
            <w14:solidFill>
              <w14:schemeClr w14:val="tx1"/>
            </w14:solidFill>
          </w14:textFill>
        </w:rPr>
        <w:t>〕</w:t>
      </w:r>
      <w:r>
        <w:rPr>
          <w:rFonts w:hint="default" w:ascii="Times New Roman" w:hAnsi="Times New Roman" w:eastAsia="微软雅黑" w:cs="Times New Roman"/>
          <w:b w:val="0"/>
          <w:bCs w:val="0"/>
          <w:i w:val="0"/>
          <w:iCs w:val="0"/>
          <w:caps w:val="0"/>
          <w:color w:val="000000" w:themeColor="text1"/>
          <w:spacing w:val="0"/>
          <w:sz w:val="28"/>
          <w:szCs w:val="28"/>
          <w:shd w:val="clear" w:fill="FFFFFF"/>
          <w14:textFill>
            <w14:solidFill>
              <w14:schemeClr w14:val="tx1"/>
            </w14:solidFill>
          </w14:textFill>
        </w:rPr>
        <w:t>140</w:t>
      </w:r>
      <w:r>
        <w:rPr>
          <w:rFonts w:hint="default" w:ascii="仿宋_GB2312" w:hAnsi="微软雅黑" w:eastAsia="仿宋_GB2312" w:cs="仿宋_GB2312"/>
          <w:b w:val="0"/>
          <w:bCs w:val="0"/>
          <w:i w:val="0"/>
          <w:iCs w:val="0"/>
          <w:caps w:val="0"/>
          <w:color w:val="000000" w:themeColor="text1"/>
          <w:spacing w:val="0"/>
          <w:sz w:val="28"/>
          <w:szCs w:val="28"/>
          <w:shd w:val="clear" w:fill="FFFFFF"/>
          <w14:textFill>
            <w14:solidFill>
              <w14:schemeClr w14:val="tx1"/>
            </w14:solidFill>
          </w14:textFill>
        </w:rPr>
        <w:t>号</w:t>
      </w:r>
    </w:p>
    <w:p w14:paraId="2CC2339E">
      <w:pPr>
        <w:pStyle w:val="3"/>
        <w:keepNext w:val="0"/>
        <w:keepLines w:val="0"/>
        <w:widowControl/>
        <w:suppressLineNumbers w:val="0"/>
        <w:shd w:val="clear" w:fill="FFFFFF"/>
        <w:spacing w:line="480" w:lineRule="atLeast"/>
        <w:ind w:left="0" w:firstLine="0"/>
        <w:jc w:val="center"/>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ascii="仿宋" w:hAnsi="仿宋" w:eastAsia="仿宋" w:cs="仿宋"/>
          <w:i w:val="0"/>
          <w:iCs w:val="0"/>
          <w:caps w:val="0"/>
          <w:color w:val="000000" w:themeColor="text1"/>
          <w:spacing w:val="45"/>
          <w:sz w:val="28"/>
          <w:szCs w:val="28"/>
          <w:shd w:val="clear" w:fill="FFFFFF"/>
          <w14:textFill>
            <w14:solidFill>
              <w14:schemeClr w14:val="tx1"/>
            </w14:solidFill>
          </w14:textFill>
        </w:rPr>
        <w:t> </w:t>
      </w:r>
    </w:p>
    <w:p w14:paraId="79643D40">
      <w:pPr>
        <w:pStyle w:val="3"/>
        <w:keepNext w:val="0"/>
        <w:keepLines w:val="0"/>
        <w:widowControl/>
        <w:suppressLineNumbers w:val="0"/>
        <w:shd w:val="clear" w:fill="FFFFFF"/>
        <w:spacing w:line="600" w:lineRule="atLeast"/>
        <w:ind w:left="0" w:firstLine="0"/>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各省、自治区、直辖市和新疆生产建设兵团人力资源社会保障厅（局）、卫生计生委、公务员局，国务院各部委、各直属机构人事（干部）部门：</w:t>
      </w:r>
    </w:p>
    <w:p w14:paraId="0A96B6E4">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为进一步提高公务员录用体检工作科学化、规范化水平，人力资源社会保障部、国家卫生计生委和国家公务员局组织医学专家对《公务员录用体检通用标准（试行）》（以下简称《标准》）和《公务员录用体检操作手册（试行）》（以下简称《操作手册》）部分内容进行了修订，现就有关事项通知如下：</w:t>
      </w:r>
    </w:p>
    <w:p w14:paraId="6D5CEDAC">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一、将《标准》第一条修订为：风湿性心脏病、心肌病、冠心病、先天性心脏病等器质性心脏病，不合格。先天性心脏病不需手术者或经手术治愈者，合格。</w:t>
      </w:r>
    </w:p>
    <w:p w14:paraId="2E82BFA3">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遇有下列情况之一的，排除病理性改变，合格：</w:t>
      </w:r>
    </w:p>
    <w:p w14:paraId="657F2BCA">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（一）心脏听诊有杂音；</w:t>
      </w:r>
    </w:p>
    <w:p w14:paraId="5C8923F3">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（二）频发期前收缩；</w:t>
      </w:r>
    </w:p>
    <w:p w14:paraId="2F0777A2">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（三）心率每分钟小于</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50</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次或大于</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110</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次；</w:t>
      </w:r>
    </w:p>
    <w:p w14:paraId="638DE0F7">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（四）心电图有异常的其他情况。</w:t>
      </w:r>
    </w:p>
    <w:p w14:paraId="20A9DCCC">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二、将《标准》第二条修订为：血压在下列范围内，合格：收缩压小于</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140mmHg</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；舒张压小于</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90mmHg</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w:t>
      </w:r>
    </w:p>
    <w:p w14:paraId="4C0F27C2">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三、将《标准》第三条修订为：血液系统疾病，不合格。单纯性缺铁性贫血，血红蛋白男性高于</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90g</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L</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、女性高于</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80g</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L</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，合格。</w:t>
      </w:r>
    </w:p>
    <w:p w14:paraId="63DB051C">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四、将《标准》第六条修订为：慢性胰腺炎、溃疡性结肠炎、克罗恩病等严重慢性消化系统疾病，不合格。胃次全切除术后无严重并发症者，合格。</w:t>
      </w:r>
    </w:p>
    <w:p w14:paraId="314D9D83">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五、将《标准》第七条修订为：各种急慢性肝炎及肝硬化，不合格。</w:t>
      </w:r>
    </w:p>
    <w:p w14:paraId="56E3D1D8">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六、将《标准》第八条修订为：恶性肿瘤，不合格。</w:t>
      </w:r>
    </w:p>
    <w:p w14:paraId="61905A6F">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七、将《标准》第九条修订为：肾炎、慢性肾盂肾炎、多囊肾、肾功能不全，不合格。</w:t>
      </w:r>
    </w:p>
    <w:p w14:paraId="6AE06461">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八、将《标准》第十九条修订为：双眼矫正视力均低于</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4.8</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（小数视力</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0.6</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），一眼失明另一眼矫正视力低于</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4.9</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（小数视力</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0.8</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），有明显视功能损害眼病者，不合格。</w:t>
      </w:r>
    </w:p>
    <w:p w14:paraId="477CEE1C">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九、将《标准》第二十条修订为：双耳均有听力障碍，在使用人工听觉装置情况下，双耳在</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3</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米以内耳语仍听不见者，不合格。</w:t>
      </w:r>
    </w:p>
    <w:p w14:paraId="271020BF">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十、《操作手册》根据《标准》上述条文修订情况作了相应修订。</w:t>
      </w:r>
    </w:p>
    <w:p w14:paraId="03D054D6">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本通知自</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2017</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年</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1</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月</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1</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日起实施。各地各部门要认真执行修订后的《标准》和《操作手册》，切实做好公务员录用体检工作。在具体工作中，遇有问题，请及时反馈中央公务员主管部门和卫生（卫生计生）行政部门。</w:t>
      </w:r>
    </w:p>
    <w:p w14:paraId="71B7A490">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 </w:t>
      </w:r>
    </w:p>
    <w:p w14:paraId="6D84227A">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附件：公务员录用体检通用标准（试行）</w:t>
      </w:r>
    </w:p>
    <w:p w14:paraId="4BF83DF3">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 </w:t>
      </w:r>
    </w:p>
    <w:p w14:paraId="6FE7F18C">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  </w:t>
      </w:r>
    </w:p>
    <w:p w14:paraId="50BAEA5F">
      <w:pPr>
        <w:pStyle w:val="3"/>
        <w:keepNext w:val="0"/>
        <w:keepLines w:val="0"/>
        <w:widowControl/>
        <w:suppressLineNumbers w:val="0"/>
        <w:shd w:val="clear" w:fill="FFFFFF"/>
        <w:spacing w:line="600" w:lineRule="atLeast"/>
        <w:ind w:left="0" w:firstLine="645"/>
        <w:jc w:val="center"/>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人力资源社会保障部</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国家卫生计生委</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国家公务员局</w:t>
      </w:r>
    </w:p>
    <w:p w14:paraId="6F2F5797">
      <w:pPr>
        <w:pStyle w:val="3"/>
        <w:keepNext w:val="0"/>
        <w:keepLines w:val="0"/>
        <w:widowControl/>
        <w:suppressLineNumbers w:val="0"/>
        <w:shd w:val="clear" w:fill="FFFFFF"/>
        <w:spacing w:line="600" w:lineRule="atLeast"/>
        <w:ind w:left="0" w:firstLine="645"/>
        <w:jc w:val="center"/>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 </w:t>
      </w:r>
    </w:p>
    <w:p w14:paraId="20562487">
      <w:pPr>
        <w:pStyle w:val="3"/>
        <w:keepNext w:val="0"/>
        <w:keepLines w:val="0"/>
        <w:widowControl/>
        <w:suppressLineNumbers w:val="0"/>
        <w:shd w:val="clear" w:fill="FFFFFF"/>
        <w:spacing w:line="600" w:lineRule="atLeast"/>
        <w:ind w:left="0" w:firstLine="3045"/>
        <w:jc w:val="center"/>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        2016年</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12</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月</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30</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日</w:t>
      </w:r>
    </w:p>
    <w:p w14:paraId="11A51240">
      <w:pPr>
        <w:pStyle w:val="3"/>
        <w:keepNext w:val="0"/>
        <w:keepLines w:val="0"/>
        <w:widowControl/>
        <w:suppressLineNumbers w:val="0"/>
        <w:shd w:val="clear" w:fill="FFFFFF"/>
        <w:spacing w:line="600" w:lineRule="atLeast"/>
        <w:ind w:left="0" w:firstLine="3045"/>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 </w:t>
      </w:r>
    </w:p>
    <w:p w14:paraId="5B3517C3">
      <w:pPr>
        <w:pStyle w:val="3"/>
        <w:keepNext w:val="0"/>
        <w:keepLines w:val="0"/>
        <w:widowControl/>
        <w:suppressLineNumbers w:val="0"/>
        <w:shd w:val="clear" w:fill="FFFFFF"/>
        <w:spacing w:line="600" w:lineRule="atLeast"/>
        <w:ind w:left="0" w:firstLine="3045"/>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宋体" w:hAnsi="宋体" w:eastAsia="宋体" w:cs="宋体"/>
          <w:i w:val="0"/>
          <w:iCs w:val="0"/>
          <w:caps w:val="0"/>
          <w:color w:val="000000" w:themeColor="text1"/>
          <w:spacing w:val="0"/>
          <w:sz w:val="20"/>
          <w:szCs w:val="20"/>
          <w:shd w:val="clear" w:fill="FFFFFF"/>
          <w14:textFill>
            <w14:solidFill>
              <w14:schemeClr w14:val="tx1"/>
            </w14:solidFill>
          </w14:textFill>
        </w:rPr>
        <w:t> </w:t>
      </w:r>
    </w:p>
    <w:p w14:paraId="2A68816D">
      <w:pPr>
        <w:pStyle w:val="3"/>
        <w:keepNext w:val="0"/>
        <w:keepLines w:val="0"/>
        <w:widowControl/>
        <w:suppressLineNumbers w:val="0"/>
        <w:shd w:val="clear" w:fill="FFFFFF"/>
        <w:spacing w:line="600" w:lineRule="atLeast"/>
        <w:ind w:left="0" w:firstLine="300"/>
        <w:jc w:val="center"/>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Style w:val="6"/>
          <w:rFonts w:hint="eastAsia" w:ascii="宋体" w:hAnsi="宋体" w:eastAsia="宋体" w:cs="宋体"/>
          <w:i w:val="0"/>
          <w:iCs w:val="0"/>
          <w:caps w:val="0"/>
          <w:color w:val="000000" w:themeColor="text1"/>
          <w:spacing w:val="0"/>
          <w:sz w:val="40"/>
          <w:szCs w:val="40"/>
          <w:shd w:val="clear" w:fill="FFFFFF"/>
          <w14:textFill>
            <w14:solidFill>
              <w14:schemeClr w14:val="tx1"/>
            </w14:solidFill>
          </w14:textFill>
        </w:rPr>
        <w:t>公务员录用体检通用标准（试行）</w:t>
      </w:r>
    </w:p>
    <w:p w14:paraId="236A779F">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 </w:t>
      </w:r>
    </w:p>
    <w:p w14:paraId="47B99C0C">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ascii="黑体" w:hAnsi="宋体" w:eastAsia="黑体" w:cs="黑体"/>
          <w:i w:val="0"/>
          <w:iCs w:val="0"/>
          <w:caps w:val="0"/>
          <w:color w:val="000000" w:themeColor="text1"/>
          <w:spacing w:val="0"/>
          <w:sz w:val="28"/>
          <w:szCs w:val="28"/>
          <w:shd w:val="clear" w:fill="FFFFFF"/>
          <w14:textFill>
            <w14:solidFill>
              <w14:schemeClr w14:val="tx1"/>
            </w14:solidFill>
          </w14:textFill>
        </w:rPr>
        <w:t>第一条</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风湿性心脏病、心肌病、冠心病、先天性心脏病等器质性心脏病，不合格。先天性心脏病不需手术者或经手术治愈者，合格。</w:t>
      </w:r>
    </w:p>
    <w:p w14:paraId="5641A7EC">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遇有下列情况之一的，排除病理性改变，合格：</w:t>
      </w:r>
    </w:p>
    <w:p w14:paraId="3E22C948">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（一）心脏听诊有杂音；</w:t>
      </w:r>
    </w:p>
    <w:p w14:paraId="4048580D">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（二）频发期前收缩；</w:t>
      </w:r>
    </w:p>
    <w:p w14:paraId="77EE8FD8">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（三）心率每分钟小于50次或大于110次；</w:t>
      </w:r>
    </w:p>
    <w:p w14:paraId="75BDDA57">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（四）心电图有异常的其他情况。</w:t>
      </w:r>
    </w:p>
    <w:p w14:paraId="75516F9B">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第二条</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血压在下列范围内，合格：收缩压小于140mmHg；舒张压小于90mmHg。</w:t>
      </w:r>
    </w:p>
    <w:p w14:paraId="629B6919">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第三条</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血液系统疾病，不合格。单纯性缺铁性贫血，血红蛋白男性高于90g／L、女性高于80g／L，合格。</w:t>
      </w:r>
    </w:p>
    <w:p w14:paraId="756045BD">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第四条</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结核病不合格。但下列情况合格：</w:t>
      </w:r>
    </w:p>
    <w:p w14:paraId="574A1273">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（一）原发性肺结核、继发性肺结核、结核性胸膜炎，临床治愈后稳定1年无变化者；</w:t>
      </w:r>
    </w:p>
    <w:p w14:paraId="4B1ED2DD">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（二）肺外结核病：肾结核、骨结核、腹膜结核、淋巴结核等，临床治愈后2年无复发，经专科医院检查无变化者。</w:t>
      </w:r>
    </w:p>
    <w:p w14:paraId="74A23E09">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第五条</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慢性支气管炎伴阻塞性肺气肿、支气管扩张、支气管哮喘，不合格。</w:t>
      </w:r>
    </w:p>
    <w:p w14:paraId="31D93A81">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第六条</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慢性胰腺炎、溃疡性结肠炎、克罗恩病等严重慢性消化系统疾病，不合格。胃次全切除术后无严重并发症者，合格。</w:t>
      </w:r>
    </w:p>
    <w:p w14:paraId="01267023">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第七条</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各种急慢性肝炎及肝硬化，不合格。</w:t>
      </w:r>
    </w:p>
    <w:p w14:paraId="6E3889F6">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第八条</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恶性肿瘤，不合格。</w:t>
      </w:r>
    </w:p>
    <w:p w14:paraId="51FA09A9">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第九条</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肾炎、慢性肾盂肾炎、多囊肾、肾功能不全，不合格。</w:t>
      </w:r>
    </w:p>
    <w:p w14:paraId="00C16E78">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第十条</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糖尿病、尿崩症、肢端肥大症等内分泌系统疾病，不合格。甲状腺功能亢进治愈后1年无症状和体征者，合格。</w:t>
      </w:r>
    </w:p>
    <w:p w14:paraId="174A81B6">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第十一条</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有癫痫病史、精神病史、癔病史、夜游症、严重的神经官能症（经常头痛头晕、失眠、记忆力明显下降等），精神活性物质滥用和依赖者，不合格。</w:t>
      </w:r>
    </w:p>
    <w:p w14:paraId="6F3FE4A1">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第十二条</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红斑狼疮、皮肌炎和/或多发性肌炎、硬皮病、结节性多动脉炎、类风湿性关节炎等各种弥漫性结缔组织疾病，大动脉炎，不合格。</w:t>
      </w:r>
    </w:p>
    <w:p w14:paraId="39CA694B">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第十三条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晚期血吸虫病，晚期血丝虫病兼有橡皮肿或有乳糜尿，不合格。</w:t>
      </w:r>
    </w:p>
    <w:p w14:paraId="13ECB04D">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第十四条</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颅骨缺损、颅内异物存留、颅脑畸形、脑外伤后综合征，不合格。</w:t>
      </w:r>
    </w:p>
    <w:p w14:paraId="03BE4779">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第十五条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严重的慢性骨髓炎，不合格。</w:t>
      </w:r>
    </w:p>
    <w:p w14:paraId="222AC524">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第十六条</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三度单纯性甲状腺肿，不合格。</w:t>
      </w:r>
    </w:p>
    <w:p w14:paraId="7D28092B">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第十七条</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有梗阻的胆结石或泌尿系结石，不合格</w:t>
      </w:r>
      <w:r>
        <w:rPr>
          <w:rFonts w:hint="default" w:ascii="仿宋_GB2312" w:hAnsi="微软雅黑" w:eastAsia="仿宋_GB2312" w:cs="仿宋_GB2312"/>
          <w:i w:val="0"/>
          <w:iCs w:val="0"/>
          <w:caps w:val="0"/>
          <w:color w:val="000000" w:themeColor="text1"/>
          <w:spacing w:val="0"/>
          <w:sz w:val="28"/>
          <w:szCs w:val="28"/>
          <w:shd w:val="clear" w:fill="FFFFFF"/>
          <w14:textFill>
            <w14:solidFill>
              <w14:schemeClr w14:val="tx1"/>
            </w14:solidFill>
          </w14:textFill>
        </w:rPr>
        <w:t>。</w:t>
      </w:r>
    </w:p>
    <w:p w14:paraId="495A2E1C">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第十八条</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淋病、梅毒、软下疳、性病性淋巴肉芽肿、尖锐湿疣、生殖器疱疹，艾滋病，不合格。</w:t>
      </w:r>
    </w:p>
    <w:p w14:paraId="1759CF78">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第十九条</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双眼矫正视力均低于4.8（小数视力0.6），一眼失明另一眼矫正视力低于4.9（小数视力0.8），有明显视功能损害眼病者，不合格。</w:t>
      </w:r>
    </w:p>
    <w:p w14:paraId="3566C35B">
      <w:pPr>
        <w:pStyle w:val="3"/>
        <w:keepNext w:val="0"/>
        <w:keepLines w:val="0"/>
        <w:widowControl/>
        <w:suppressLineNumbers w:val="0"/>
        <w:shd w:val="clear" w:fill="FFFFFF"/>
        <w:spacing w:line="600" w:lineRule="atLeast"/>
        <w:ind w:left="0" w:firstLine="645"/>
        <w:jc w:val="both"/>
        <w:rPr>
          <w:rFonts w:hint="eastAsia" w:ascii="微软雅黑" w:hAnsi="微软雅黑" w:eastAsia="微软雅黑" w:cs="微软雅黑"/>
          <w:i w:val="0"/>
          <w:iCs w:val="0"/>
          <w:caps w:val="0"/>
          <w:color w:val="000000" w:themeColor="text1"/>
          <w:spacing w:val="0"/>
          <w:sz w:val="16"/>
          <w:szCs w:val="16"/>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第二十条</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双耳均有听力障碍，在使用人工听觉装置情况下，双耳在3米以内耳语仍听不见者，不合格。</w:t>
      </w:r>
    </w:p>
    <w:p w14:paraId="59B8467B">
      <w:pPr>
        <w:pStyle w:val="3"/>
        <w:keepNext w:val="0"/>
        <w:keepLines w:val="0"/>
        <w:widowControl/>
        <w:suppressLineNumbers w:val="0"/>
        <w:shd w:val="clear" w:fill="FFFFFF"/>
        <w:spacing w:line="600" w:lineRule="atLeast"/>
        <w:ind w:left="0" w:firstLine="645"/>
        <w:jc w:val="both"/>
        <w:rPr>
          <w:color w:val="000000" w:themeColor="text1"/>
          <w:sz w:val="22"/>
          <w:szCs w:val="22"/>
          <w14:textFill>
            <w14:solidFill>
              <w14:schemeClr w14:val="tx1"/>
            </w14:solidFill>
          </w14:textFill>
        </w:rPr>
      </w:pPr>
      <w:r>
        <w:rPr>
          <w:rFonts w:hint="eastAsia" w:ascii="黑体" w:hAnsi="宋体" w:eastAsia="黑体" w:cs="黑体"/>
          <w:i w:val="0"/>
          <w:iCs w:val="0"/>
          <w:caps w:val="0"/>
          <w:color w:val="000000" w:themeColor="text1"/>
          <w:spacing w:val="0"/>
          <w:sz w:val="28"/>
          <w:szCs w:val="28"/>
          <w:shd w:val="clear" w:fill="FFFFFF"/>
          <w14:textFill>
            <w14:solidFill>
              <w14:schemeClr w14:val="tx1"/>
            </w14:solidFill>
          </w14:textFill>
        </w:rPr>
        <w:t>第二十一条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未纳入体检标准，影响正常履行职责的其他严重疾病，不合格。</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34BB3"/>
    <w:rsid w:val="66134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2025-10-15T04:17:00Z</dcterms:created>
  <dc:creator>丶Summer℡ 念</dc:creator>
  <cp:lastModifiedBy>丶Summer℡ 念</cp:lastModifiedBy>
  <dcterms:modified xsi:type="dcterms:W3CDTF">2025-10-15T04:18:26Z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10A115F24A2F47B1BAE7612748E50FF0_11</vt:lpwstr>
  </property>
  <property fmtid="{D5CDD505-2E9C-101B-9397-08002B2CF9AE}" pid="4" name="KSOTemplateDocerSaveRecord">
    <vt:lpwstr>eyJoZGlkIjoiZTBjNTcwZWFlZTA2Yjk4M2ZkZjNhY2FkMDFlZTI3MWEiLCJ1c2VySWQiOiI0MTc2ODkwNTYifQ==</vt:lpwstr>
  </property>
</Properties>
</file>