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17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0"/>
          <w:sz w:val="32"/>
          <w:szCs w:val="32"/>
          <w:lang w:val="en-US" w:eastAsia="zh-CN" w:bidi="zh-CN"/>
        </w:rPr>
        <w:t>附件1</w:t>
      </w: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zh-CN"/>
        </w:rPr>
        <w:t>：</w:t>
      </w:r>
    </w:p>
    <w:p w14:paraId="1FD4A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2"/>
          <w:sz w:val="32"/>
          <w:szCs w:val="32"/>
          <w:lang w:val="en-US" w:eastAsia="zh-CN" w:bidi="ar-SA"/>
        </w:rPr>
        <w:t>贵阳信息科技学院 2024年第三批教师招聘需求计划表</w:t>
      </w:r>
    </w:p>
    <w:tbl>
      <w:tblPr>
        <w:tblStyle w:val="4"/>
        <w:tblW w:w="10045" w:type="dxa"/>
        <w:tblInd w:w="-7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45"/>
        <w:gridCol w:w="1184"/>
        <w:gridCol w:w="1700"/>
        <w:gridCol w:w="650"/>
        <w:gridCol w:w="2933"/>
        <w:gridCol w:w="1050"/>
        <w:gridCol w:w="733"/>
      </w:tblGrid>
      <w:tr w14:paraId="483497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tblHeader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3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7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</w:t>
            </w:r>
          </w:p>
          <w:p w14:paraId="2AFD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7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C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C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E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D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  <w:p w14:paraId="7F5D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1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</w:tr>
      <w:tr w14:paraId="3A51B5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3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4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0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院长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5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具备与应聘岗位相关的学科专业背景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A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9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博士研究生学历或副高级及以上职称或有相关任职经历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9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73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5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新疆生产建设兵团第一师阿拉尔市三五九大街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北4040号</w:t>
            </w:r>
          </w:p>
        </w:tc>
      </w:tr>
      <w:tr w14:paraId="6913FE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BA1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D39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F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A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计算机类相关专业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E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C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硕士研究生及以上学历（副高级及以上职称的，学历可放宽至本科）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D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EDAF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1ABE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B46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690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数字传媒学院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5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2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艺术学类相关专业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4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0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硕士研究生及以上学历（副高级及以上职称的，学历可放宽至本科）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3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7389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762D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1E0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E4D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智能工程学院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5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D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机械类相关专业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A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B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硕士研究生及以上学历（副高级及以上职称的，学历可放宽至本科）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6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9175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F303A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B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1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1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院长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D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具备与应聘岗位相关的学科专业背景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1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F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博士研究生学历或副高级及以上职称或有相关任职经历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0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657E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92C6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E84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F1F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9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E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土木类相关专业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F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1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硕士研究生及以上学历（副高级及以上职称的，学历可放宽至本科）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3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B1E8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FEB3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D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D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D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2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英语类相关专业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9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0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硕士研究生及以上学历（副高级及以上职称的，学历可放宽至本科）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3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6C01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7F8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2A2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040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2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8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数学类相关专业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6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D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硕士研究生及以上学历（副高级及以上职称的，学历可放宽至本科）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8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C28A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6B16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D8E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7A2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1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8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计算机类相关专业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1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C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硕士研究生及以上学历（副高级及以上职称的，学历可放宽至本科）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8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19E2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7073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015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590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D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C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物理类相关专业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E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7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硕士研究生及以上学历（副高级及以上职称的，学历可放宽至本科）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D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78ED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7110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786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23B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D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B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会计专业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4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E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本科及以上学历，具有两年以上会计业务工作经验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1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7C7B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F39F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67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7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 计</w:t>
            </w:r>
          </w:p>
        </w:tc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8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50人</w:t>
            </w:r>
          </w:p>
        </w:tc>
        <w:tc>
          <w:tcPr>
            <w:tcW w:w="2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7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E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CBAE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007E8C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yZmJjZDBhMWE5NGM5YzJiMGI1ZTliYzcxZGVkZDQifQ=="/>
  </w:docVars>
  <w:rsids>
    <w:rsidRoot w:val="5F3D0485"/>
    <w:rsid w:val="5F3D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beforeAutospacing="0" w:after="6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2024-08-21T06:05:00Z</dcterms:created>
  <dc:creator>°Distance</dc:creator>
  <cp:lastModifiedBy>°Distance</cp:lastModifiedBy>
  <dcterms:modified xsi:type="dcterms:W3CDTF">2024-08-21T06:08:18Z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A055CD5CD6454D98B81B45E06446D49B_11</vt:lpwstr>
  </property>
</Properties>
</file>