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312"/>
        </w:tabs>
        <w:kinsoku/>
        <w:autoSpaceDE w:val="0"/>
        <w:autoSpaceDN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insoku/>
        <w:spacing w:before="114" w:line="219" w:lineRule="auto"/>
        <w:jc w:val="center"/>
        <w:rPr>
          <w:rFonts w:ascii="宋体" w:hAnsi="宋体" w:eastAsia="宋体" w:cs="宋体"/>
          <w:b w:val="0"/>
          <w:bCs w:val="0"/>
          <w:sz w:val="44"/>
          <w:szCs w:val="44"/>
          <w:lang w:eastAsia="zh-CN"/>
        </w:rPr>
      </w:pPr>
      <w:bookmarkStart w:id="0" w:name="_GoBack"/>
      <w:r>
        <w:rPr>
          <w:rFonts w:hint="eastAsia" w:ascii="方正小标宋简体" w:hAnsi="方正小标宋简体" w:eastAsia="方正小标宋简体" w:cs="方正小标宋简体"/>
          <w:b w:val="0"/>
          <w:bCs w:val="0"/>
          <w:spacing w:val="1"/>
          <w:sz w:val="44"/>
          <w:szCs w:val="44"/>
          <w:lang w:eastAsia="zh-CN"/>
        </w:rPr>
        <w:t>成黔集团2024年公开招聘所属矿业板块经理层成员职位要求一览表</w:t>
      </w:r>
    </w:p>
    <w:bookmarkEnd w:id="0"/>
    <w:tbl>
      <w:tblPr>
        <w:tblStyle w:val="11"/>
        <w:tblpPr w:leftFromText="180" w:rightFromText="180" w:vertAnchor="text" w:horzAnchor="page" w:tblpXSpec="center" w:tblpY="242"/>
        <w:tblOverlap w:val="never"/>
        <w:tblW w:w="13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5"/>
        <w:gridCol w:w="1609"/>
        <w:gridCol w:w="705"/>
        <w:gridCol w:w="1050"/>
        <w:gridCol w:w="1290"/>
        <w:gridCol w:w="3030"/>
        <w:gridCol w:w="2910"/>
        <w:gridCol w:w="1952"/>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691"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序号</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岗位名称</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招聘人数（人）</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年龄要求</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学历要求</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职务层级要求</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岗位资格条件</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2357"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成黔集团所属矿业板块</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总经理</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以下</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both"/>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现职级为正处级或相当职务层级管理人员；或现职级为副处级或相当职务层级管理人员满2年以上；或现职级为副处级或相当职务层级管理人员未满2年的，应当任副处级或相当职务层级管理人员满1年以上和下一层级的岗位工作累计满5年以上。</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1.专业背景为矿业或经营管理等；</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2.有矿业企业经营管理等10年以上工作经历；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3.具有中级及以上职称；</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4.有丰富的企业管理经验和经营能力，有较强的组织协调、沟通能力。</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同等条件下，在同类岗位上取得过优良业绩者优先考虑。</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2484"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成黔集团所属矿业板块</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副总经理</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以下</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现职级为副处级或相当职务层级管理人员；或现职级为正科级或相当职务层级管理人员满2年以上；或现职级为正科级或相当职务层级管理人员未满2年的，应当任正科级或相当职务层级管理人员满1年以上和下一层级的岗位工作累计满5年以上。</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1.专业背景为矿业、经营管理或市场营销等；</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2.具备系统的采矿管理理论和丰富的生产实践经验，熟悉国家生产安全法律法规；</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3.有矿业企业生产管理、市场营销管理等7年以上工作经历；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color w:val="auto"/>
                <w:spacing w:val="-2"/>
                <w:highlight w:val="none"/>
                <w:lang w:val="en-US" w:eastAsia="zh-CN"/>
              </w:rPr>
              <w:t>4.执行力和落实力强，具备良好的组织协调、团队协作能力。</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1.同等条件下，在同类岗位上取得过优良业绩者优先考虑。</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2.对不满足职务层级要求，符合其他报名条件且在矿业板块成绩突出者，确定为拟任职对象后按成黔集团岗位与职级分离管理。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0" w:type="dxa"/>
          <w:trHeight w:val="719"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序号</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岗位名称</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招聘人数 （人）</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年龄要求</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学历要求</w:t>
            </w:r>
          </w:p>
        </w:tc>
        <w:tc>
          <w:tcPr>
            <w:tcW w:w="303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职务层级要求</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岗位资格条件</w:t>
            </w:r>
          </w:p>
        </w:tc>
        <w:tc>
          <w:tcPr>
            <w:tcW w:w="1952"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leftChars="0"/>
              <w:jc w:val="center"/>
              <w:textAlignment w:val="baseline"/>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3" w:hRule="atLeast"/>
          <w:jc w:val="center"/>
        </w:trPr>
        <w:tc>
          <w:tcPr>
            <w:tcW w:w="52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3</w:t>
            </w:r>
          </w:p>
        </w:tc>
        <w:tc>
          <w:tcPr>
            <w:tcW w:w="1609"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成黔集团所属矿业板块</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副总经理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default"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（兼总工程师）</w:t>
            </w:r>
          </w:p>
        </w:tc>
        <w:tc>
          <w:tcPr>
            <w:tcW w:w="705"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1</w:t>
            </w:r>
          </w:p>
        </w:tc>
        <w:tc>
          <w:tcPr>
            <w:tcW w:w="105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50周岁</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以下</w:t>
            </w:r>
          </w:p>
        </w:tc>
        <w:tc>
          <w:tcPr>
            <w:tcW w:w="129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center"/>
              <w:textAlignment w:val="baseline"/>
              <w:rPr>
                <w:rFonts w:hint="eastAsia" w:ascii="仿宋_GB2312" w:hAnsi="仿宋_GB2312" w:eastAsia="仿宋_GB2312" w:cs="仿宋_GB2312"/>
                <w:spacing w:val="-2"/>
                <w:lang w:val="en-US" w:eastAsia="zh-CN"/>
              </w:rPr>
            </w:pPr>
            <w:r>
              <w:rPr>
                <w:rFonts w:hint="eastAsia" w:ascii="仿宋_GB2312" w:hAnsi="仿宋_GB2312" w:eastAsia="仿宋_GB2312" w:cs="仿宋_GB2312"/>
                <w:spacing w:val="-2"/>
                <w:lang w:val="en-US" w:eastAsia="zh-CN"/>
              </w:rPr>
              <w:t>全日制本科及以上学历</w:t>
            </w:r>
          </w:p>
        </w:tc>
        <w:tc>
          <w:tcPr>
            <w:tcW w:w="3030" w:type="dxa"/>
            <w:vAlign w:val="center"/>
          </w:tcPr>
          <w:p>
            <w:pPr>
              <w:pStyle w:val="12"/>
              <w:bidi w:val="0"/>
              <w:jc w:val="both"/>
              <w:rPr>
                <w:rFonts w:hint="eastAsia"/>
                <w:lang w:val="en-US" w:eastAsia="zh-CN"/>
              </w:rPr>
            </w:pPr>
            <w:r>
              <w:rPr>
                <w:rFonts w:hint="eastAsia" w:ascii="仿宋_GB2312" w:hAnsi="仿宋_GB2312" w:eastAsia="仿宋_GB2312" w:cs="仿宋_GB2312"/>
                <w:spacing w:val="-2"/>
                <w:lang w:val="en-US" w:eastAsia="zh-CN"/>
              </w:rPr>
              <w:t>现职级为副处级或相当职务层级管理人员；或现职级为正科级或相当职务层级管理人员满2年以上；或现职级为正科级或相当职务层级管理人员未满2年的，应当任正科级或相当职务层级管理人员满1年以上和下一层级的岗位工作累计满5年以上。</w:t>
            </w:r>
          </w:p>
        </w:tc>
        <w:tc>
          <w:tcPr>
            <w:tcW w:w="2910"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1.专业背景为地测、采矿、矿建类；</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 xml:space="preserve">2.有10年以上地下非煤矿山设计、建设、协调、运营管理经验；无井下作业相关职业病或职业禁忌症；熟悉井采技术工艺，有大型地下非煤矿山项目经验优先； </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3.系采矿类高级工程师，适应驻矿工作；</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default"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4.执行力和落实力强，具备良好的组织协调、沟通协作能力。</w:t>
            </w:r>
          </w:p>
        </w:tc>
        <w:tc>
          <w:tcPr>
            <w:tcW w:w="1972" w:type="dxa"/>
            <w:gridSpan w:val="2"/>
            <w:vAlign w:val="center"/>
          </w:tcPr>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1.同等条件下，在同类岗位上取得过优良业绩者优先考虑。</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r>
              <w:rPr>
                <w:rFonts w:hint="eastAsia" w:ascii="仿宋_GB2312" w:hAnsi="仿宋_GB2312" w:eastAsia="仿宋_GB2312" w:cs="仿宋_GB2312"/>
                <w:color w:val="auto"/>
                <w:spacing w:val="-2"/>
                <w:highlight w:val="none"/>
                <w:lang w:val="en-US" w:eastAsia="zh-CN"/>
              </w:rPr>
              <w:t>2.对不满足职务层级要求，符合其他报名条件且在矿业板块成绩突出者，确定为拟任职对象后按成黔集团岗位与职级分离管理。</w:t>
            </w:r>
          </w:p>
          <w:p>
            <w:pPr>
              <w:pStyle w:val="12"/>
              <w:keepNext w:val="0"/>
              <w:keepLines w:val="0"/>
              <w:pageBreakBefore w:val="0"/>
              <w:widowControl/>
              <w:kinsoku/>
              <w:wordWrap/>
              <w:overflowPunct/>
              <w:topLinePunct w:val="0"/>
              <w:autoSpaceDE w:val="0"/>
              <w:autoSpaceDN w:val="0"/>
              <w:bidi w:val="0"/>
              <w:adjustRightInd w:val="0"/>
              <w:snapToGrid w:val="0"/>
              <w:spacing w:before="72" w:line="260" w:lineRule="exact"/>
              <w:ind w:left="130"/>
              <w:jc w:val="left"/>
              <w:textAlignment w:val="baseline"/>
              <w:rPr>
                <w:rFonts w:hint="eastAsia" w:ascii="仿宋_GB2312" w:hAnsi="仿宋_GB2312" w:eastAsia="仿宋_GB2312" w:cs="仿宋_GB2312"/>
                <w:color w:val="auto"/>
                <w:spacing w:val="-2"/>
                <w:highlight w:val="none"/>
                <w:lang w:val="en-US" w:eastAsia="zh-CN"/>
              </w:rPr>
            </w:pPr>
          </w:p>
        </w:tc>
      </w:tr>
    </w:tbl>
    <w:p>
      <w:pPr>
        <w:kinsoku/>
        <w:rPr>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lang w:eastAsia="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D46224-F5E3-4B13-B27C-6716F1C0E5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E1764FC8-1D22-49C3-BA76-D00A0F739472}"/>
  </w:font>
  <w:font w:name="仿宋_GB2312">
    <w:panose1 w:val="02010609030101010101"/>
    <w:charset w:val="86"/>
    <w:family w:val="auto"/>
    <w:pitch w:val="default"/>
    <w:sig w:usb0="00000001" w:usb1="080E0000" w:usb2="00000000" w:usb3="00000000" w:csb0="00040000" w:csb1="00000000"/>
    <w:embedRegular r:id="rId3" w:fontKey="{D8DEA074-E9F1-44EF-B880-21D8668222E8}"/>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mZlOTIyMzU1NmY5MTUzYmI1ZjE2ZTA5Mzg2MmQifQ=="/>
    <w:docVar w:name="KSO_WPS_MARK_KEY" w:val="1a015ad2-5ebf-41aa-90f7-5355673031a1"/>
  </w:docVars>
  <w:rsids>
    <w:rsidRoot w:val="00BA60A6"/>
    <w:rsid w:val="00005FD5"/>
    <w:rsid w:val="00030042"/>
    <w:rsid w:val="000F0333"/>
    <w:rsid w:val="001C74D5"/>
    <w:rsid w:val="00276241"/>
    <w:rsid w:val="00310275"/>
    <w:rsid w:val="00317D81"/>
    <w:rsid w:val="003F2C0E"/>
    <w:rsid w:val="004778D5"/>
    <w:rsid w:val="004966D3"/>
    <w:rsid w:val="00537A2E"/>
    <w:rsid w:val="0054098A"/>
    <w:rsid w:val="00577671"/>
    <w:rsid w:val="006B0570"/>
    <w:rsid w:val="009163D2"/>
    <w:rsid w:val="00936468"/>
    <w:rsid w:val="00B96DD2"/>
    <w:rsid w:val="00BA60A6"/>
    <w:rsid w:val="00D1448A"/>
    <w:rsid w:val="00E60523"/>
    <w:rsid w:val="00F73F13"/>
    <w:rsid w:val="00FF2284"/>
    <w:rsid w:val="04640F2F"/>
    <w:rsid w:val="046F07E2"/>
    <w:rsid w:val="06FB3455"/>
    <w:rsid w:val="0AD41414"/>
    <w:rsid w:val="108C55D4"/>
    <w:rsid w:val="109F7A6D"/>
    <w:rsid w:val="113E1296"/>
    <w:rsid w:val="135F6CC5"/>
    <w:rsid w:val="14EF1875"/>
    <w:rsid w:val="15E8561C"/>
    <w:rsid w:val="182254BE"/>
    <w:rsid w:val="1E1B17E1"/>
    <w:rsid w:val="202F777D"/>
    <w:rsid w:val="20AE0406"/>
    <w:rsid w:val="22B46D30"/>
    <w:rsid w:val="245E07C6"/>
    <w:rsid w:val="253849B7"/>
    <w:rsid w:val="259A3C27"/>
    <w:rsid w:val="26E67F4E"/>
    <w:rsid w:val="27293501"/>
    <w:rsid w:val="285C14C0"/>
    <w:rsid w:val="28A644E9"/>
    <w:rsid w:val="29407343"/>
    <w:rsid w:val="2990076F"/>
    <w:rsid w:val="2999242E"/>
    <w:rsid w:val="2A635C1C"/>
    <w:rsid w:val="2C526E62"/>
    <w:rsid w:val="2C9C05EF"/>
    <w:rsid w:val="2D983BFD"/>
    <w:rsid w:val="2DE91729"/>
    <w:rsid w:val="2E444AD0"/>
    <w:rsid w:val="2E83345E"/>
    <w:rsid w:val="2F05640D"/>
    <w:rsid w:val="2F873BFA"/>
    <w:rsid w:val="2FAD13D7"/>
    <w:rsid w:val="3030068C"/>
    <w:rsid w:val="33574D5E"/>
    <w:rsid w:val="34895B74"/>
    <w:rsid w:val="37F82040"/>
    <w:rsid w:val="39172C21"/>
    <w:rsid w:val="3D262873"/>
    <w:rsid w:val="407A080D"/>
    <w:rsid w:val="40CA36FB"/>
    <w:rsid w:val="42BF6B85"/>
    <w:rsid w:val="44290050"/>
    <w:rsid w:val="44420502"/>
    <w:rsid w:val="463D6035"/>
    <w:rsid w:val="467A125B"/>
    <w:rsid w:val="4D4C29AF"/>
    <w:rsid w:val="4E2347B0"/>
    <w:rsid w:val="4EFA3451"/>
    <w:rsid w:val="4F7D558E"/>
    <w:rsid w:val="537178A9"/>
    <w:rsid w:val="545F186C"/>
    <w:rsid w:val="548D6DD7"/>
    <w:rsid w:val="56046A53"/>
    <w:rsid w:val="590B0C51"/>
    <w:rsid w:val="5A752BB6"/>
    <w:rsid w:val="5A815527"/>
    <w:rsid w:val="5EF04DB7"/>
    <w:rsid w:val="61E17690"/>
    <w:rsid w:val="62DD22DA"/>
    <w:rsid w:val="65567D6F"/>
    <w:rsid w:val="65E25E59"/>
    <w:rsid w:val="672901E4"/>
    <w:rsid w:val="67731610"/>
    <w:rsid w:val="67D77EA2"/>
    <w:rsid w:val="67E441EE"/>
    <w:rsid w:val="69ED32C2"/>
    <w:rsid w:val="6DBE4BA5"/>
    <w:rsid w:val="70261BB1"/>
    <w:rsid w:val="731A5F8B"/>
    <w:rsid w:val="73C7130C"/>
    <w:rsid w:val="743B3304"/>
    <w:rsid w:val="74631EEB"/>
    <w:rsid w:val="75FE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99"/>
    <w:pPr>
      <w:ind w:left="420" w:leftChars="200"/>
    </w:pPr>
  </w:style>
  <w:style w:type="paragraph" w:styleId="3">
    <w:name w:val="Body Text"/>
    <w:basedOn w:val="1"/>
    <w:link w:val="15"/>
    <w:autoRedefine/>
    <w:semiHidden/>
    <w:qFormat/>
    <w:uiPriority w:val="0"/>
    <w:rPr>
      <w:rFonts w:ascii="仿宋" w:hAnsi="仿宋" w:eastAsia="仿宋" w:cs="仿宋"/>
      <w:sz w:val="32"/>
      <w:szCs w:val="32"/>
    </w:rPr>
  </w:style>
  <w:style w:type="paragraph" w:styleId="4">
    <w:name w:val="Date"/>
    <w:basedOn w:val="1"/>
    <w:next w:val="1"/>
    <w:link w:val="16"/>
    <w:autoRedefine/>
    <w:qFormat/>
    <w:uiPriority w:val="0"/>
    <w:pPr>
      <w:ind w:left="100" w:leftChars="2500"/>
    </w:pPr>
  </w:style>
  <w:style w:type="paragraph" w:styleId="5">
    <w:name w:val="Balloon Text"/>
    <w:basedOn w:val="1"/>
    <w:next w:val="1"/>
    <w:autoRedefine/>
    <w:qFormat/>
    <w:uiPriority w:val="0"/>
    <w:rPr>
      <w:sz w:val="18"/>
      <w:szCs w:val="18"/>
    </w:rPr>
  </w:style>
  <w:style w:type="paragraph" w:styleId="6">
    <w:name w:val="footer"/>
    <w:basedOn w:val="1"/>
    <w:link w:val="14"/>
    <w:autoRedefine/>
    <w:qFormat/>
    <w:uiPriority w:val="0"/>
    <w:pPr>
      <w:tabs>
        <w:tab w:val="center" w:pos="4153"/>
        <w:tab w:val="right" w:pos="8306"/>
      </w:tabs>
    </w:pPr>
    <w:rPr>
      <w:sz w:val="18"/>
      <w:szCs w:val="18"/>
    </w:rPr>
  </w:style>
  <w:style w:type="paragraph" w:styleId="7">
    <w:name w:val="header"/>
    <w:basedOn w:val="1"/>
    <w:link w:val="13"/>
    <w:autoRedefine/>
    <w:qFormat/>
    <w:uiPriority w:val="0"/>
    <w:pPr>
      <w:tabs>
        <w:tab w:val="center" w:pos="4153"/>
        <w:tab w:val="right" w:pos="8306"/>
      </w:tabs>
      <w:jc w:val="center"/>
    </w:pPr>
    <w:rPr>
      <w:sz w:val="18"/>
      <w:szCs w:val="18"/>
    </w:rPr>
  </w:style>
  <w:style w:type="paragraph" w:styleId="8">
    <w:name w:val="Normal (Web)"/>
    <w:basedOn w:val="1"/>
    <w:next w:val="5"/>
    <w:autoRedefine/>
    <w:qFormat/>
    <w:uiPriority w:val="0"/>
    <w:pPr>
      <w:spacing w:before="100" w:beforeAutospacing="1" w:after="100" w:afterAutospacing="1"/>
    </w:pPr>
    <w:rPr>
      <w:rFonts w:cs="Times New Roman"/>
      <w:kern w:val="0"/>
      <w:sz w:val="24"/>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2"/>
      <w:szCs w:val="22"/>
    </w:rPr>
  </w:style>
  <w:style w:type="character" w:customStyle="1" w:styleId="13">
    <w:name w:val="页眉 字符"/>
    <w:basedOn w:val="10"/>
    <w:link w:val="7"/>
    <w:autoRedefine/>
    <w:qFormat/>
    <w:uiPriority w:val="0"/>
    <w:rPr>
      <w:rFonts w:ascii="Arial" w:hAnsi="Arial" w:eastAsia="Arial" w:cs="Arial"/>
      <w:snapToGrid w:val="0"/>
      <w:color w:val="000000"/>
      <w:sz w:val="18"/>
      <w:szCs w:val="18"/>
      <w:lang w:eastAsia="en-US"/>
    </w:rPr>
  </w:style>
  <w:style w:type="character" w:customStyle="1" w:styleId="14">
    <w:name w:val="页脚 字符"/>
    <w:basedOn w:val="10"/>
    <w:link w:val="6"/>
    <w:autoRedefine/>
    <w:qFormat/>
    <w:uiPriority w:val="0"/>
    <w:rPr>
      <w:rFonts w:ascii="Arial" w:hAnsi="Arial" w:eastAsia="Arial" w:cs="Arial"/>
      <w:snapToGrid w:val="0"/>
      <w:color w:val="000000"/>
      <w:sz w:val="18"/>
      <w:szCs w:val="18"/>
      <w:lang w:eastAsia="en-US"/>
    </w:rPr>
  </w:style>
  <w:style w:type="character" w:customStyle="1" w:styleId="15">
    <w:name w:val="正文文本 字符"/>
    <w:basedOn w:val="10"/>
    <w:link w:val="3"/>
    <w:autoRedefine/>
    <w:semiHidden/>
    <w:qFormat/>
    <w:uiPriority w:val="0"/>
    <w:rPr>
      <w:rFonts w:ascii="仿宋" w:hAnsi="仿宋" w:eastAsia="仿宋" w:cs="仿宋"/>
      <w:snapToGrid w:val="0"/>
      <w:color w:val="000000"/>
      <w:sz w:val="32"/>
      <w:szCs w:val="32"/>
      <w:lang w:eastAsia="en-US"/>
    </w:rPr>
  </w:style>
  <w:style w:type="character" w:customStyle="1" w:styleId="16">
    <w:name w:val="日期 字符"/>
    <w:basedOn w:val="10"/>
    <w:link w:val="4"/>
    <w:autoRedefine/>
    <w:qFormat/>
    <w:uiPriority w:val="0"/>
    <w:rPr>
      <w:rFonts w:ascii="Arial" w:hAnsi="Arial" w:eastAsia="Arial" w:cs="Arial"/>
      <w:snapToGrid w:val="0"/>
      <w:color w:val="000000"/>
      <w:sz w:val="21"/>
      <w:szCs w:val="21"/>
      <w:lang w:eastAsia="en-US"/>
    </w:rPr>
  </w:style>
  <w:style w:type="paragraph" w:customStyle="1" w:styleId="17">
    <w:name w:val="正文-公1"/>
    <w:basedOn w:val="18"/>
    <w:next w:val="8"/>
    <w:autoRedefine/>
    <w:qFormat/>
    <w:uiPriority w:val="99"/>
    <w:pPr>
      <w:ind w:firstLine="200" w:firstLineChars="200"/>
    </w:pPr>
    <w:rPr>
      <w:color w:val="000000"/>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3795</Words>
  <Characters>3917</Characters>
  <Lines>2</Lines>
  <Paragraphs>7</Paragraphs>
  <TotalTime>29</TotalTime>
  <ScaleCrop>false</ScaleCrop>
  <LinksUpToDate>false</LinksUpToDate>
  <CharactersWithSpaces>3923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2024-05-23T06:19:00Z</dcterms:created>
  <dc:creator>A</dc:creator>
  <cp:lastModifiedBy>Tormey</cp:lastModifiedBy>
  <cp:lastPrinted>2024-06-14T09:21:00Z</cp:lastPrinted>
  <dcterms:modified xsi:type="dcterms:W3CDTF">2024-06-14T11:39:08Z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91049BB6613C437CA42125A3873C6275_13</vt:lpwstr>
  </property>
</Properties>
</file>